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widowControl w:val="0"/>
        <w:tabs>
          <w:tab w:val="center" w:pos="6891"/>
          <w:tab w:val="right" w:pos="13662"/>
        </w:tabs>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44"/>
          <w:szCs w:val="44"/>
        </w:rPr>
      </w:pPr>
      <w:r>
        <w:rPr>
          <w:rFonts w:hint="default" w:ascii="黑体" w:hAnsi="黑体" w:eastAsia="黑体" w:cs="黑体"/>
          <w:sz w:val="44"/>
          <w:szCs w:val="44"/>
        </w:rPr>
        <w:tab/>
      </w:r>
      <w:bookmarkStart w:id="0" w:name="_GoBack"/>
      <w:r>
        <w:rPr>
          <w:rFonts w:hint="eastAsia" w:ascii="方正小标宋简体" w:hAnsi="方正小标宋简体" w:eastAsia="方正小标宋简体" w:cs="方正小标宋简体"/>
          <w:sz w:val="44"/>
          <w:szCs w:val="44"/>
        </w:rPr>
        <w:t>2022年台州市第一批</w:t>
      </w:r>
      <w:r>
        <w:rPr>
          <w:rFonts w:hint="eastAsia" w:ascii="方正小标宋简体" w:hAnsi="方正小标宋简体" w:eastAsia="方正小标宋简体" w:cs="方正小标宋简体"/>
          <w:sz w:val="44"/>
          <w:szCs w:val="44"/>
          <w:lang w:eastAsia="zh-CN"/>
        </w:rPr>
        <w:t>社会发展</w:t>
      </w:r>
      <w:r>
        <w:rPr>
          <w:rFonts w:hint="eastAsia" w:ascii="方正小标宋简体" w:hAnsi="方正小标宋简体" w:eastAsia="方正小标宋简体" w:cs="方正小标宋简体"/>
          <w:sz w:val="44"/>
          <w:szCs w:val="44"/>
          <w:lang w:val="en-US" w:eastAsia="zh-CN"/>
        </w:rPr>
        <w:t>类</w:t>
      </w:r>
      <w:r>
        <w:rPr>
          <w:rFonts w:hint="eastAsia" w:ascii="方正小标宋简体" w:hAnsi="方正小标宋简体" w:eastAsia="方正小标宋简体" w:cs="方正小标宋简体"/>
          <w:sz w:val="44"/>
          <w:szCs w:val="44"/>
        </w:rPr>
        <w:t>科技计划项目</w:t>
      </w:r>
    </w:p>
    <w:bookmarkEnd w:id="0"/>
    <w:p>
      <w:pPr>
        <w:keepNext w:val="0"/>
        <w:keepLines w:val="0"/>
        <w:pageBreakBefore w:val="0"/>
        <w:widowControl w:val="0"/>
        <w:tabs>
          <w:tab w:val="center" w:pos="6891"/>
          <w:tab w:val="right" w:pos="13662"/>
        </w:tabs>
        <w:kinsoku/>
        <w:wordWrap/>
        <w:overflowPunct/>
        <w:topLinePunct w:val="0"/>
        <w:autoSpaceDE/>
        <w:autoSpaceDN/>
        <w:bidi w:val="0"/>
        <w:adjustRightInd/>
        <w:snapToGrid/>
        <w:spacing w:line="600" w:lineRule="exact"/>
        <w:jc w:val="center"/>
        <w:textAlignment w:val="auto"/>
        <w:rPr>
          <w:rFonts w:hint="eastAsia" w:ascii="黑体" w:hAnsi="黑体" w:eastAsia="楷体_GB2312" w:cs="黑体"/>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排名不分先后</w:t>
      </w:r>
      <w:r>
        <w:rPr>
          <w:rFonts w:hint="eastAsia" w:ascii="楷体_GB2312" w:hAnsi="楷体_GB2312" w:eastAsia="楷体_GB2312" w:cs="楷体_GB2312"/>
          <w:sz w:val="32"/>
          <w:szCs w:val="32"/>
          <w:lang w:eastAsia="zh-CN"/>
        </w:rPr>
        <w:t>）</w:t>
      </w:r>
    </w:p>
    <w:tbl>
      <w:tblPr>
        <w:tblStyle w:val="5"/>
        <w:tblW w:w="13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576"/>
        <w:gridCol w:w="1143"/>
        <w:gridCol w:w="4225"/>
        <w:gridCol w:w="3265"/>
        <w:gridCol w:w="766"/>
        <w:gridCol w:w="720"/>
        <w:gridCol w:w="179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tblHeader/>
          <w:jc w:val="center"/>
        </w:trPr>
        <w:tc>
          <w:tcPr>
            <w:tcW w:w="576"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序号</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项目编号</w:t>
            </w:r>
          </w:p>
        </w:tc>
        <w:tc>
          <w:tcPr>
            <w:tcW w:w="4225"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项目名称</w:t>
            </w:r>
          </w:p>
        </w:tc>
        <w:tc>
          <w:tcPr>
            <w:tcW w:w="3265"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承担单位</w:t>
            </w:r>
          </w:p>
        </w:tc>
        <w:tc>
          <w:tcPr>
            <w:tcW w:w="766"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项目</w:t>
            </w:r>
          </w:p>
          <w:p>
            <w:pPr>
              <w:keepNext w:val="0"/>
              <w:keepLines w:val="0"/>
              <w:pageBreakBefore w:val="0"/>
              <w:tabs>
                <w:tab w:val="center" w:pos="4153"/>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负责人</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项目</w:t>
            </w:r>
          </w:p>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sz w:val="21"/>
                <w:szCs w:val="21"/>
              </w:rPr>
              <w:t>类别</w:t>
            </w:r>
          </w:p>
        </w:tc>
        <w:tc>
          <w:tcPr>
            <w:tcW w:w="179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sz w:val="21"/>
                <w:szCs w:val="21"/>
              </w:rPr>
              <w:t>起止时间</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SERPINB7通过调控Hippo/TGF-beta/Wnt信号通路对乳腺癌细胞增殖、凋亡、迁移和侵袭的作用及机制研究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刘志伟</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08"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自噬通过降解RIG-I调控干眼炎症水平的研究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周</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洁</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AAH羟化酶调控GSK-3β/p16/VEGF-C/D信号通路促进肝内胆管癌经淋巴途径转移的分子机制研究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张法标</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基于宏基因组二代测序技术分析慢性阻塞性肺疾病急性加重期肺微生物群及Th17/Treg失衡交互作用的机制研究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厉世笑</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Tim-3/Gal-9信号通路调控Th17细胞在慢加急性肝衰竭发病中的作用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李阿利</w:t>
            </w:r>
          </w:p>
        </w:tc>
        <w:tc>
          <w:tcPr>
            <w:tcW w:w="720"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基质金属蛋白酶抑制剂Batimastat缓解高脂饮食所致肥胖及并发骨质疏松的作用与机制研究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章礼炜</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基于金纳米笼构建伊曲康唑可溶性微针用于高效治疗婴幼儿血管瘤的研究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夏爱晓</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欧前胡素对重症急性胰腺炎相关肺损伤的保护作用及机制研究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张杰诚</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09"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a09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去泛素化酶USP14通过NLRP3介导的心肌焦亡在阿霉素心脏毒性中的作用及机制研究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孙珍珠</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NLRP3调控TLR4/NF-κB信号通路改善新生儿缺氧缺血性脑损伤的机制研究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张凌姿</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辅酶II依赖性NRDR在脓毒血症肝损伤过程中的作用机制研究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杨再平</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12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Sacubitril/Valsartan在冠心病相关房颤中的保护作用及机制研究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李</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涛</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SBP1通过调节SOD对结直肠癌细胞耐受活性氧的影响及机制研究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浙江省台州医院</w:t>
            </w:r>
          </w:p>
        </w:tc>
        <w:tc>
          <w:tcPr>
            <w:tcW w:w="766"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周申康</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医卫</w:t>
            </w:r>
          </w:p>
        </w:tc>
        <w:tc>
          <w:tcPr>
            <w:tcW w:w="179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2022-2024</w:t>
            </w:r>
          </w:p>
        </w:tc>
        <w:tc>
          <w:tcPr>
            <w:tcW w:w="1151"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color w:val="000000"/>
                <w:sz w:val="21"/>
                <w:szCs w:val="21"/>
                <w:lang w:val="en-US" w:eastAsia="zh-CN"/>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PIK3R3调控AKT通路和活化CD4+T细胞介导消融联合免疫治疗肝癌的机制研究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汪列智</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神经元LIMK1介导Cofilin磷酸化失活调控线粒体凋亡途径保护缺血性脑卒中的分子机制研究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金皎蕾</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基于BDNF/HMGB1通路研究右美托咪定缓解缺血性脑损伤的机制研究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李</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瑛</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circZFR通过调节miR-511-3p/SOX9轴调控PI3K/AKT通路促进非小细胞肺癌进展</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朱楚梦</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FHL1、MMP-2参与抑制肺癌细胞侵袭转移的相互作用网络研究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徐佳佳</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19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a19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MAOA调控TAM介导前列腺癌骨转移的机制研究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何</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剑</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SHCBP1激活PTEN-PI3K/AKT信号轴介导三阴性乳腺癌紫杉醇耐药的机制研究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陈毓</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中药制剂左金丸调控PI3K/AKT/caspase信号轴诱导胰腺癌细胞凋亡的机制研究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王志敏</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val="en-US" w:eastAsia="zh-CN"/>
              </w:rPr>
              <w:t>22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Sorcin条件性敲除对成年小鼠顺铂耳毒性的影响</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台州市中心医院（台州学院附属医院）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彭</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帆</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RIF1通过PP1介导的Wnt/β-catenin信号通路影响结直肠癌细胞增殖、凋亡的机制研究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喻长法</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多分类深度卷积神经网络对肺腺癌CT图像病理学分型预测的可视化研究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郑海澜</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circRNA_100338通过miR-200a-3p/E2F3信号通路促进骨肉瘤</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张富国</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多模态磁共振联合PIVKA-Ⅱ对预测原发性肝癌TACE术后进展的研究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郏</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鹏</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PRF与转染TGF-β1/IL-10的BMSCs构建3D打印软骨复合体修复膝关节软骨缺损的研究与应用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何</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龙</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胃食管交界区粘膜损伤对食管粘膜运动及下端括约肌收缩功能的影响</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姜治国</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a29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携带MCR-1肠杆菌科细菌传播及耐药机制研究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梁赣锋</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miR-125a-5p靶向DRAM2调节结直肠癌细胞自噬及其对癌细胞凋亡的影响的研究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吴振兴</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TLR3/miR-106b-5p轴对单核巨噬细胞胞葬的调控机制及其对原发性胆汁性胆管炎的临床意义研究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台州市第一人民医院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杨再兴</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假丝酵母菌的生物膜形成在RVVC的反复抗真菌治疗失败的决定性作用的研究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潘一红</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脂肪组织提取液通过影响脂肪前体干细胞分化调控cAMP-SIRT1-NF-κB通路促进皮瓣移植术后抗缺血再灌注损伤的基础研究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朱莉莉</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肝细胞外泌体miR-122-5p诱导Kupffer细胞M1极化促进肝脏缺血再灌注损伤的机制研究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王爱东</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09"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粪便M2型丙酮酸激酶联合FIT和高危因素问卷的结直肠癌筛查模型构建及应用评价</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金</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翔</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VATS肺叶切除术对肺癌患者心肺功能的影响程度及术后康复趋势：一项基于CPET量化评估的临床研究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孔</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敏</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基于KEAP1/NRF2轴研究木犀草素通过抑制巨噬细胞焦亡进而保护糖尿病动脉粥样硬化的作用和机制研究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杨苏芬</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T淋巴细胞介导的免疫失衡在慢性自身免疫性（桥本）甲状腺炎合并甲状腺乳头状癌发病中的研究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恩泽医院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邢</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萍</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39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a39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基于ERK/JNK/p38MAPK信号通路不饱和脂肪酸在高脂合并脑缺血的铁死亡机制研究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台州市立医院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邱玲玲</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一款新型经内镜逆行性胰胆管造影术(ERCP)手术器械工作台的设计与应用研究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台州市立医院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王雪飞</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PHF1促进化疗诱导的乳腺癌细胞干性化的分子机制研究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台州市立医院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陈</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鑫</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Arg1通过PI3K/AKT通路介导乳腺癌骨转移的作用及机制研究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台州市立医院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汪宇成</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308"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临床分离气单胞菌属细菌编码 NDM 的新型移动元件研究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台州市立医院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罗新华</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基于FOLFOX方案的HAIC与TACE治疗中晚期肝细胞癌疗效对比研究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杨海</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颈动脉斑块超声影像组学预测高危短暂性脑缺血发作进展为缺血性卒中的价值及其机制研究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范天兵</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外泌体miR-7706介导肿瘤干细胞样表型促进乳腺癌他莫昔芬耐药的作用和机制研究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池宏波</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HIF-1α转染脂肪间充质干细胞复合骨细胞外基质支架 修复股骨头坏死的实验研究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金</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刚</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HIF1-α稳定性调节因子和反式激活因子启动子区DNA甲基化 在糖尿病肾病进展中的作用及机制研究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范佳妮</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49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a49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质粒介导碳青霉烯类耐药基因blaKPC-2在铜绿假单胞菌中的传播机制及适应性研究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石庆新</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92"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金合欢素基于线粒体自噬途径介导淋巴管新生保护心肌缺血再灌注损伤的作用机制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台州恩泽医疗中心（集团）</w:t>
            </w:r>
          </w:p>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路桥医院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顾仕林</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基于“肝胆同治”探讨逍遥丸对绝经后骨质疏松症的研究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徐荣敏</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加味涤痰汤联合双水平无创正压通气对AECOPD合并Ⅱ型呼吸衰竭患者肺动脉压力及动脉血气指标的影响</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陶毅强</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53</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a53</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胃肠超声造影对胃肿瘤治疗前TNM分期的评估价值</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台州市中医院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卢一丹</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54</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a54</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青少年自伤行为的外泌体miRNA标记物筛选鉴定及应用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台州市第二人民医院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金美娜</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55</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a55</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基于肠道压力监测系统在小儿肠套叠复位的临床应用研究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台州市妇女儿童医院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李小利</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56</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a56</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基于连续性伙伴关系的分娩情景模拟在初产妇中的应用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台州市妇女儿童医院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李丽娇</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04"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57</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a57</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染色体芯片分析（CMA）及全外显子组测序（WES）在胎儿先天性心脏异常遗传学诊断中的临床应用研究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台州市妇女儿童医院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屠文骆</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58</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a58</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面向临床颌骨囊肿及囊性病变智能勾画关键技术研究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台州学院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刘花香</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91"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59</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a59</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Circ_0000189通过miR-607/GLS轴调控食管鳞状细胞癌谷氨酰胺代谢的机制及其诊疗价值研究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台州学院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钱翠娟</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709"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60</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a60</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G蛋白偶联受体LPAR5直接激活PI3K激酶促进甲状腺乳头状癌细胞增殖的机制研究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台州学院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黄盈瑞</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61</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a61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肿瘤精准手术靶向荧光成像剂Pafolacianine及其类似物开发与工业化研究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台州职业技术学院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王</w:t>
            </w:r>
            <w:r>
              <w:rPr>
                <w:rFonts w:hint="eastAsia" w:ascii="Times New Roman" w:hAnsi="Times New Roman" w:cs="Times New Roman"/>
                <w:b w:val="0"/>
                <w:bCs/>
                <w:i w:val="0"/>
                <w:color w:val="000000"/>
                <w:kern w:val="0"/>
                <w:sz w:val="21"/>
                <w:szCs w:val="21"/>
                <w:u w:val="none"/>
                <w:lang w:val="en-US" w:eastAsia="zh-CN" w:bidi="ar"/>
              </w:rPr>
              <w:t xml:space="preserve">  </w:t>
            </w:r>
            <w:r>
              <w:rPr>
                <w:rFonts w:hint="default" w:ascii="Times New Roman" w:hAnsi="Times New Roman" w:eastAsia="宋体" w:cs="Times New Roman"/>
                <w:b w:val="0"/>
                <w:bCs/>
                <w:i w:val="0"/>
                <w:color w:val="000000"/>
                <w:kern w:val="0"/>
                <w:sz w:val="21"/>
                <w:szCs w:val="21"/>
                <w:u w:val="none"/>
                <w:lang w:val="en-US" w:eastAsia="zh-CN" w:bidi="ar"/>
              </w:rPr>
              <w:t>冠</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62</w:t>
            </w:r>
          </w:p>
        </w:tc>
        <w:tc>
          <w:tcPr>
            <w:tcW w:w="1143"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22</w:t>
            </w:r>
            <w:r>
              <w:rPr>
                <w:rFonts w:hint="default" w:ascii="Times New Roman" w:hAnsi="Times New Roman" w:eastAsia="宋体" w:cs="Times New Roman"/>
                <w:b w:val="0"/>
                <w:bCs/>
                <w:sz w:val="21"/>
                <w:szCs w:val="21"/>
                <w:lang w:eastAsia="zh-CN"/>
              </w:rPr>
              <w:t>yw</w:t>
            </w:r>
            <w:r>
              <w:rPr>
                <w:rFonts w:hint="default" w:ascii="Times New Roman" w:hAnsi="Times New Roman" w:eastAsia="宋体" w:cs="Times New Roman"/>
                <w:b w:val="0"/>
                <w:bCs/>
                <w:sz w:val="21"/>
                <w:szCs w:val="21"/>
              </w:rPr>
              <w:t>a62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“双减”政策下中小学生心理健康状况变化及干预控制队列研究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台州市疾病预防控制中心</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王婷婷</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lang w:eastAsia="zh-CN"/>
              </w:rPr>
            </w:pPr>
            <w:r>
              <w:rPr>
                <w:rFonts w:hint="default" w:ascii="Times New Roman" w:hAnsi="Times New Roman" w:eastAsia="宋体" w:cs="Times New Roman"/>
                <w:b w:val="0"/>
                <w:bCs/>
                <w:color w:val="000000"/>
                <w:sz w:val="21"/>
                <w:szCs w:val="21"/>
                <w:lang w:eastAsia="zh-CN"/>
              </w:rPr>
              <w:t>医卫</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63</w:t>
            </w:r>
          </w:p>
        </w:tc>
        <w:tc>
          <w:tcPr>
            <w:tcW w:w="1143"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22hba01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机械化学法对生活垃圾焚烧飞灰资源化利用技术研究</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浙江大学台州研究院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丁佳敏</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环保</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0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64</w:t>
            </w:r>
          </w:p>
        </w:tc>
        <w:tc>
          <w:tcPr>
            <w:tcW w:w="1143"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22hba02</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新型碳基催化剂活化过硫酸盐深度处理抗生素制药废水的研究与应用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台州学院</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蒋胜韬</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环保</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color w:val="000000"/>
                <w:sz w:val="21"/>
                <w:szCs w:val="21"/>
              </w:rPr>
              <w:t>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15" w:hRule="atLeast"/>
          <w:jc w:val="center"/>
        </w:trPr>
        <w:tc>
          <w:tcPr>
            <w:tcW w:w="576" w:type="dxa"/>
            <w:vAlign w:val="center"/>
          </w:tcPr>
          <w:p>
            <w:pPr>
              <w:keepNext w:val="0"/>
              <w:keepLines w:val="0"/>
              <w:pageBreakBefore w:val="0"/>
              <w:kinsoku/>
              <w:wordWrap/>
              <w:overflowPunct/>
              <w:topLinePunct w:val="0"/>
              <w:autoSpaceDE/>
              <w:bidi w:val="0"/>
              <w:adjustRightInd/>
              <w:snapToGrid/>
              <w:spacing w:line="0" w:lineRule="atLeas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65</w:t>
            </w:r>
          </w:p>
        </w:tc>
        <w:tc>
          <w:tcPr>
            <w:tcW w:w="1143" w:type="dxa"/>
            <w:vAlign w:val="center"/>
          </w:tcPr>
          <w:p>
            <w:pPr>
              <w:keepNext w:val="0"/>
              <w:keepLines w:val="0"/>
              <w:pageBreakBefore w:val="0"/>
              <w:tabs>
                <w:tab w:val="left" w:pos="5245"/>
              </w:tabs>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22hya01</w:t>
            </w:r>
          </w:p>
        </w:tc>
        <w:tc>
          <w:tcPr>
            <w:tcW w:w="422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both"/>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台州市国家级海洋牧场示范区创建的关键技术研发与应用</w:t>
            </w:r>
          </w:p>
        </w:tc>
        <w:tc>
          <w:tcPr>
            <w:tcW w:w="3265"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台州市水产技术推广总站</w:t>
            </w:r>
          </w:p>
        </w:tc>
        <w:tc>
          <w:tcPr>
            <w:tcW w:w="766" w:type="dxa"/>
            <w:vAlign w:val="center"/>
          </w:tcPr>
          <w:p>
            <w:pPr>
              <w:keepNext w:val="0"/>
              <w:keepLines w:val="0"/>
              <w:pageBreakBefore w:val="0"/>
              <w:widowControl/>
              <w:suppressLineNumbers w:val="0"/>
              <w:kinsoku/>
              <w:wordWrap/>
              <w:overflowPunct/>
              <w:topLinePunct w:val="0"/>
              <w:autoSpaceDE/>
              <w:bidi w:val="0"/>
              <w:adjustRightInd/>
              <w:snapToGrid/>
              <w:spacing w:line="0" w:lineRule="atLeast"/>
              <w:jc w:val="center"/>
              <w:textAlignment w:val="bottom"/>
              <w:rPr>
                <w:rFonts w:hint="default" w:ascii="Times New Roman" w:hAnsi="Times New Roman" w:eastAsia="宋体" w:cs="Times New Roman"/>
                <w:b w:val="0"/>
                <w:bCs/>
                <w:i w:val="0"/>
                <w:color w:val="000000"/>
                <w:kern w:val="2"/>
                <w:sz w:val="21"/>
                <w:szCs w:val="21"/>
                <w:u w:val="none"/>
                <w:lang w:val="en-US" w:eastAsia="zh-CN" w:bidi="ar-SA"/>
              </w:rPr>
            </w:pPr>
            <w:r>
              <w:rPr>
                <w:rFonts w:hint="default" w:ascii="Times New Roman" w:hAnsi="Times New Roman" w:eastAsia="宋体" w:cs="Times New Roman"/>
                <w:b w:val="0"/>
                <w:bCs/>
                <w:i w:val="0"/>
                <w:color w:val="000000"/>
                <w:kern w:val="0"/>
                <w:sz w:val="21"/>
                <w:szCs w:val="21"/>
                <w:u w:val="none"/>
                <w:lang w:val="en-US" w:eastAsia="zh-CN" w:bidi="ar"/>
              </w:rPr>
              <w:t>程岩雄</w:t>
            </w:r>
          </w:p>
        </w:tc>
        <w:tc>
          <w:tcPr>
            <w:tcW w:w="720"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海洋</w:t>
            </w:r>
          </w:p>
        </w:tc>
        <w:tc>
          <w:tcPr>
            <w:tcW w:w="1790" w:type="dxa"/>
            <w:vAlign w:val="center"/>
          </w:tcPr>
          <w:p>
            <w:pPr>
              <w:keepNext w:val="0"/>
              <w:keepLines w:val="0"/>
              <w:pageBreakBefore w:val="0"/>
              <w:tabs>
                <w:tab w:val="left" w:pos="5245"/>
              </w:tabs>
              <w:kinsoku/>
              <w:wordWrap/>
              <w:overflowPunct/>
              <w:topLinePunct w:val="0"/>
              <w:autoSpaceDE/>
              <w:bidi w:val="0"/>
              <w:adjustRightInd/>
              <w:snapToGrid/>
              <w:spacing w:line="0" w:lineRule="atLeast"/>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2022-2024</w:t>
            </w:r>
          </w:p>
        </w:tc>
        <w:tc>
          <w:tcPr>
            <w:tcW w:w="1151" w:type="dxa"/>
            <w:vAlign w:val="center"/>
          </w:tcPr>
          <w:p>
            <w:pPr>
              <w:keepNext w:val="0"/>
              <w:keepLines w:val="0"/>
              <w:pageBreakBefore w:val="0"/>
              <w:kinsoku/>
              <w:wordWrap/>
              <w:overflowPunct/>
              <w:topLinePunct w:val="0"/>
              <w:autoSpaceDE/>
              <w:autoSpaceDN w:val="0"/>
              <w:bidi w:val="0"/>
              <w:adjustRightInd/>
              <w:snapToGrid/>
              <w:spacing w:line="0" w:lineRule="atLeast"/>
              <w:jc w:val="center"/>
              <w:textAlignment w:val="bottom"/>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市本级</w:t>
            </w:r>
          </w:p>
        </w:tc>
      </w:tr>
    </w:tbl>
    <w:p>
      <w:pPr>
        <w:pBdr>
          <w:top w:val="single" w:color="auto" w:sz="4" w:space="1"/>
          <w:bottom w:val="single" w:color="auto" w:sz="4" w:space="1"/>
        </w:pBdr>
        <w:rPr>
          <w:rFonts w:hint="default" w:ascii="Times New Roman" w:hAnsi="Times New Roman" w:eastAsia="仿宋_GB2312" w:cs="Times New Roman"/>
          <w:sz w:val="32"/>
          <w:szCs w:val="32"/>
        </w:rPr>
      </w:pPr>
    </w:p>
    <w:sectPr>
      <w:headerReference r:id="rId3" w:type="default"/>
      <w:footerReference r:id="rId4" w:type="default"/>
      <w:footerReference r:id="rId5" w:type="even"/>
      <w:pgSz w:w="16838" w:h="11906" w:orient="landscape"/>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NotTrackMoves/>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ZDU3M2IxNmNjNmEwM2JlNGYxZjY4ZTM4MmU3ZGEifQ=="/>
  </w:docVars>
  <w:rsids>
    <w:rsidRoot w:val="009523FC"/>
    <w:rsid w:val="009523FC"/>
    <w:rsid w:val="00A23C38"/>
    <w:rsid w:val="00B5410B"/>
    <w:rsid w:val="00F60565"/>
    <w:rsid w:val="05CF5643"/>
    <w:rsid w:val="0D024FDF"/>
    <w:rsid w:val="0E302745"/>
    <w:rsid w:val="130F2C0B"/>
    <w:rsid w:val="324E7B3B"/>
    <w:rsid w:val="33AF8275"/>
    <w:rsid w:val="356B3B65"/>
    <w:rsid w:val="38016F0C"/>
    <w:rsid w:val="399A5528"/>
    <w:rsid w:val="3FE93C38"/>
    <w:rsid w:val="407B2BD3"/>
    <w:rsid w:val="42066721"/>
    <w:rsid w:val="42C363E7"/>
    <w:rsid w:val="45D42F48"/>
    <w:rsid w:val="4753082C"/>
    <w:rsid w:val="47B971BB"/>
    <w:rsid w:val="50FE2117"/>
    <w:rsid w:val="52B12C32"/>
    <w:rsid w:val="55634F9C"/>
    <w:rsid w:val="559B25E3"/>
    <w:rsid w:val="584D395F"/>
    <w:rsid w:val="58672191"/>
    <w:rsid w:val="5AE99FDA"/>
    <w:rsid w:val="5D5E9933"/>
    <w:rsid w:val="5DF2116D"/>
    <w:rsid w:val="61D76EE6"/>
    <w:rsid w:val="62EE79D5"/>
    <w:rsid w:val="639E16B3"/>
    <w:rsid w:val="67623F85"/>
    <w:rsid w:val="6EEECBCE"/>
    <w:rsid w:val="704838E1"/>
    <w:rsid w:val="77DF26EC"/>
    <w:rsid w:val="787EA772"/>
    <w:rsid w:val="79EB2C22"/>
    <w:rsid w:val="7CE78ADB"/>
    <w:rsid w:val="7DDFD786"/>
    <w:rsid w:val="7EF7F865"/>
    <w:rsid w:val="7F5DAFB4"/>
    <w:rsid w:val="7FD39CDC"/>
    <w:rsid w:val="7FF347E3"/>
    <w:rsid w:val="7FF86D5E"/>
    <w:rsid w:val="8E3FAAFF"/>
    <w:rsid w:val="A17F9701"/>
    <w:rsid w:val="B5DFDC00"/>
    <w:rsid w:val="CEFBBFFC"/>
    <w:rsid w:val="DEBA5EA7"/>
    <w:rsid w:val="DFBBEF91"/>
    <w:rsid w:val="DFD78279"/>
    <w:rsid w:val="EBACCD03"/>
    <w:rsid w:val="EDFF815A"/>
    <w:rsid w:val="F3BBF531"/>
    <w:rsid w:val="F897AD72"/>
    <w:rsid w:val="FBF59DED"/>
    <w:rsid w:val="FBFB42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qFormat/>
    <w:uiPriority w:val="0"/>
    <w:rPr>
      <w:rFonts w:ascii="Times New Roman" w:hAnsi="Times New Roman" w:eastAsia="宋体" w:cs="Times New Roman"/>
      <w:kern w:val="2"/>
      <w:sz w:val="21"/>
      <w:szCs w:val="24"/>
      <w:lang w:val="en-US" w:eastAsia="zh-CN" w:bidi="ar-SA"/>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0"/>
    <w:rPr>
      <w:kern w:val="2"/>
      <w:sz w:val="18"/>
      <w:szCs w:val="18"/>
    </w:rPr>
  </w:style>
  <w:style w:type="character" w:customStyle="1" w:styleId="8">
    <w:name w:val="页眉 Char"/>
    <w:basedOn w:val="6"/>
    <w:link w:val="4"/>
    <w:semiHidden/>
    <w:qFormat/>
    <w:uiPriority w:val="0"/>
    <w:rPr>
      <w:kern w:val="2"/>
      <w:sz w:val="18"/>
      <w:szCs w:val="18"/>
    </w:rPr>
  </w:style>
  <w:style w:type="paragraph" w:customStyle="1" w:styleId="9">
    <w:name w:val="日期1"/>
    <w:basedOn w:val="1"/>
    <w:next w:val="1"/>
    <w:link w:val="15"/>
    <w:qFormat/>
    <w:uiPriority w:val="0"/>
    <w:pPr>
      <w:ind w:left="100" w:leftChars="2500"/>
    </w:pPr>
  </w:style>
  <w:style w:type="paragraph" w:customStyle="1" w:styleId="10">
    <w:name w:val="批注框文本 Char Char"/>
    <w:basedOn w:val="1"/>
    <w:qFormat/>
    <w:uiPriority w:val="0"/>
    <w:rPr>
      <w:sz w:val="18"/>
      <w:szCs w:val="18"/>
    </w:rPr>
  </w:style>
  <w:style w:type="paragraph" w:customStyle="1" w:styleId="11">
    <w:name w:val="HTML 地址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样式1"/>
    <w:basedOn w:val="1"/>
    <w:qFormat/>
    <w:uiPriority w:val="0"/>
    <w:rPr>
      <w:rFonts w:ascii="仿宋_GB2312" w:eastAsia="仿宋_GB2312"/>
      <w:sz w:val="32"/>
      <w:szCs w:val="32"/>
    </w:rPr>
  </w:style>
  <w:style w:type="paragraph" w:customStyle="1" w:styleId="13">
    <w:name w:val="列出段落1"/>
    <w:basedOn w:val="1"/>
    <w:qFormat/>
    <w:uiPriority w:val="0"/>
    <w:pPr>
      <w:ind w:firstLine="420" w:firstLineChars="200"/>
    </w:pPr>
    <w:rPr>
      <w:rFonts w:ascii="Calibri" w:hAnsi="Calibri"/>
      <w:szCs w:val="22"/>
    </w:rPr>
  </w:style>
  <w:style w:type="character" w:customStyle="1" w:styleId="14">
    <w:name w:val="font11"/>
    <w:basedOn w:val="6"/>
    <w:qFormat/>
    <w:uiPriority w:val="0"/>
    <w:rPr>
      <w:rFonts w:hint="eastAsia" w:ascii="仿宋" w:hAnsi="仿宋" w:eastAsia="仿宋" w:cs="仿宋"/>
      <w:color w:val="000000"/>
      <w:sz w:val="24"/>
      <w:szCs w:val="24"/>
      <w:u w:val="none"/>
    </w:rPr>
  </w:style>
  <w:style w:type="character" w:customStyle="1" w:styleId="15">
    <w:name w:val="日期 Char Char"/>
    <w:basedOn w:val="6"/>
    <w:link w:val="9"/>
    <w:semiHidden/>
    <w:qFormat/>
    <w:uiPriority w:val="0"/>
    <w:rPr>
      <w:kern w:val="2"/>
      <w:sz w:val="21"/>
      <w:szCs w:val="24"/>
    </w:rPr>
  </w:style>
  <w:style w:type="character" w:customStyle="1" w:styleId="16">
    <w:name w:val="font0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12</Pages>
  <Words>5336</Words>
  <Characters>7315</Characters>
  <Lines>111</Lines>
  <Paragraphs>31</Paragraphs>
  <TotalTime>5</TotalTime>
  <ScaleCrop>false</ScaleCrop>
  <LinksUpToDate>false</LinksUpToDate>
  <CharactersWithSpaces>7380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2019-08-30T00:41:00Z</dcterms:created>
  <dc:creator>User</dc:creator>
  <cp:lastModifiedBy>user</cp:lastModifiedBy>
  <cp:lastPrinted>2022-06-22T17:13:00Z</cp:lastPrinted>
  <dcterms:modified xsi:type="dcterms:W3CDTF">2022-07-19T15:07:44Z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D1DE2EF7B6D3481A956E5E110435D7B0</vt:lpwstr>
  </property>
  <property fmtid="{D5CDD505-2E9C-101B-9397-08002B2CF9AE}" pid="4" name="woTemplateTypoMode" linkTarget="0">
    <vt:lpwstr>web</vt:lpwstr>
  </property>
  <property fmtid="{D5CDD505-2E9C-101B-9397-08002B2CF9AE}" pid="5" name="woTemplate" linkTarget="0">
    <vt:i4>1</vt:i4>
  </property>
</Properties>
</file>